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39B" w:rsidRDefault="0045539B" w:rsidP="00AE39EF">
      <w:pPr>
        <w:pStyle w:val="a3"/>
        <w:spacing w:line="330" w:lineRule="atLeast"/>
        <w:jc w:val="center"/>
        <w:rPr>
          <w:color w:val="000000"/>
          <w:sz w:val="18"/>
          <w:szCs w:val="18"/>
        </w:rPr>
      </w:pPr>
      <w:r>
        <w:rPr>
          <w:rStyle w:val="a4"/>
          <w:rFonts w:hint="eastAsia"/>
          <w:color w:val="000000"/>
          <w:sz w:val="21"/>
          <w:szCs w:val="21"/>
        </w:rPr>
        <w:t>沪港通投资者问答</w:t>
      </w:r>
    </w:p>
    <w:p w:rsidR="0045539B" w:rsidRDefault="0045539B" w:rsidP="0045539B">
      <w:pPr>
        <w:pStyle w:val="a3"/>
        <w:wordWrap w:val="0"/>
        <w:spacing w:line="330" w:lineRule="atLeast"/>
        <w:rPr>
          <w:color w:val="000000"/>
          <w:sz w:val="21"/>
          <w:szCs w:val="21"/>
        </w:rPr>
      </w:pPr>
      <w:r>
        <w:rPr>
          <w:rFonts w:hint="eastAsia"/>
          <w:color w:val="000000"/>
          <w:sz w:val="21"/>
          <w:szCs w:val="21"/>
        </w:rPr>
        <w:t xml:space="preserve">　　</w:t>
      </w:r>
      <w:r>
        <w:rPr>
          <w:rStyle w:val="a4"/>
          <w:rFonts w:hint="eastAsia"/>
          <w:color w:val="000000"/>
          <w:sz w:val="21"/>
          <w:szCs w:val="21"/>
        </w:rPr>
        <w:t>1、沪港通与QFII和QDII有何主要区别?</w:t>
      </w:r>
    </w:p>
    <w:p w:rsidR="0045539B" w:rsidRDefault="0045539B" w:rsidP="0045539B">
      <w:pPr>
        <w:pStyle w:val="a3"/>
        <w:wordWrap w:val="0"/>
        <w:spacing w:line="330" w:lineRule="atLeast"/>
        <w:rPr>
          <w:color w:val="000000"/>
          <w:sz w:val="21"/>
          <w:szCs w:val="21"/>
        </w:rPr>
      </w:pPr>
      <w:r>
        <w:rPr>
          <w:rFonts w:hint="eastAsia"/>
          <w:color w:val="000000"/>
          <w:sz w:val="21"/>
          <w:szCs w:val="21"/>
        </w:rPr>
        <w:t xml:space="preserve">　　答:沪港通与QFII、QDII制度具有一定共同之处,都是在我国资本账户尚未完全开放的背景下,为进一步丰富跨境投资方式,加强资本市场对外开放程度而</w:t>
      </w:r>
      <w:proofErr w:type="gramStart"/>
      <w:r>
        <w:rPr>
          <w:rFonts w:hint="eastAsia"/>
          <w:color w:val="000000"/>
          <w:sz w:val="21"/>
          <w:szCs w:val="21"/>
        </w:rPr>
        <w:t>作出</w:t>
      </w:r>
      <w:proofErr w:type="gramEnd"/>
      <w:r>
        <w:rPr>
          <w:rFonts w:hint="eastAsia"/>
          <w:color w:val="000000"/>
          <w:sz w:val="21"/>
          <w:szCs w:val="21"/>
        </w:rPr>
        <w:t>的特殊安排。</w:t>
      </w:r>
    </w:p>
    <w:p w:rsidR="0045539B" w:rsidRDefault="0045539B" w:rsidP="0045539B">
      <w:pPr>
        <w:pStyle w:val="a3"/>
        <w:wordWrap w:val="0"/>
        <w:spacing w:line="330" w:lineRule="atLeast"/>
        <w:rPr>
          <w:color w:val="000000"/>
          <w:sz w:val="21"/>
          <w:szCs w:val="21"/>
        </w:rPr>
      </w:pPr>
      <w:r>
        <w:rPr>
          <w:rFonts w:hint="eastAsia"/>
          <w:color w:val="000000"/>
          <w:sz w:val="21"/>
          <w:szCs w:val="21"/>
        </w:rPr>
        <w:t xml:space="preserve">　　在具体制度安排上,沪港通与QFII、QDII又存在以下主要区别:</w:t>
      </w:r>
    </w:p>
    <w:p w:rsidR="0045539B" w:rsidRDefault="0045539B" w:rsidP="0045539B">
      <w:pPr>
        <w:pStyle w:val="a3"/>
        <w:wordWrap w:val="0"/>
        <w:spacing w:line="330" w:lineRule="atLeast"/>
        <w:rPr>
          <w:color w:val="000000"/>
          <w:sz w:val="21"/>
          <w:szCs w:val="21"/>
        </w:rPr>
      </w:pPr>
      <w:r>
        <w:rPr>
          <w:rFonts w:hint="eastAsia"/>
          <w:color w:val="000000"/>
          <w:sz w:val="21"/>
          <w:szCs w:val="21"/>
        </w:rPr>
        <w:t xml:space="preserve">　　一是业务载体不同。沪港通是以两地交易所为载体,互相建立起市场连接,并对订单进行路由,从而实现投资者跨市场投资。QFII等是以资产管理公司为载体,通过向投资者发行金融产品吸收资金以进行投资。</w:t>
      </w:r>
    </w:p>
    <w:p w:rsidR="0045539B" w:rsidRDefault="0045539B" w:rsidP="0045539B">
      <w:pPr>
        <w:pStyle w:val="a3"/>
        <w:wordWrap w:val="0"/>
        <w:spacing w:line="330" w:lineRule="atLeast"/>
        <w:rPr>
          <w:color w:val="000000"/>
          <w:sz w:val="21"/>
          <w:szCs w:val="21"/>
        </w:rPr>
      </w:pPr>
      <w:r>
        <w:rPr>
          <w:rFonts w:hint="eastAsia"/>
          <w:color w:val="000000"/>
          <w:sz w:val="21"/>
          <w:szCs w:val="21"/>
        </w:rPr>
        <w:t xml:space="preserve">　　二是投资方向不同。沪港通包含两个投资方向,分别是香港投资者投资上交所市场的沪股通,以及内地投资者投资香港市场的港股通。QFII等则都是单向的投资方式。</w:t>
      </w:r>
    </w:p>
    <w:p w:rsidR="0045539B" w:rsidRDefault="0045539B" w:rsidP="0045539B">
      <w:pPr>
        <w:pStyle w:val="a3"/>
        <w:wordWrap w:val="0"/>
        <w:spacing w:line="330" w:lineRule="atLeast"/>
        <w:rPr>
          <w:color w:val="000000"/>
          <w:sz w:val="21"/>
          <w:szCs w:val="21"/>
        </w:rPr>
      </w:pPr>
      <w:r>
        <w:rPr>
          <w:rFonts w:hint="eastAsia"/>
          <w:color w:val="000000"/>
          <w:sz w:val="21"/>
          <w:szCs w:val="21"/>
        </w:rPr>
        <w:t xml:space="preserve">　　三是交易货币不同。沪港通投资者仅以人民币作为交易货币,不论是内地投资者还是香港投资者均须以人民币进行投资;QFII的投资者以美元等外币进行投资。</w:t>
      </w:r>
    </w:p>
    <w:p w:rsidR="0045539B" w:rsidRDefault="0045539B" w:rsidP="0045539B">
      <w:pPr>
        <w:pStyle w:val="a3"/>
        <w:wordWrap w:val="0"/>
        <w:spacing w:line="330" w:lineRule="atLeast"/>
        <w:rPr>
          <w:color w:val="000000"/>
          <w:sz w:val="21"/>
          <w:szCs w:val="21"/>
        </w:rPr>
      </w:pPr>
      <w:r>
        <w:rPr>
          <w:rFonts w:hint="eastAsia"/>
          <w:color w:val="000000"/>
          <w:sz w:val="21"/>
          <w:szCs w:val="21"/>
        </w:rPr>
        <w:t xml:space="preserve">　　四是跨境资金管理方式不同。沪港通对资金实施闭合路径管理,卖出证券获得的资金必须沿原路径返回,不能留存在当地市场;QFII等买卖证券的资金可以留存在当地市场。</w:t>
      </w:r>
    </w:p>
    <w:p w:rsidR="0045539B" w:rsidRDefault="0045539B" w:rsidP="0045539B">
      <w:pPr>
        <w:pStyle w:val="a3"/>
        <w:wordWrap w:val="0"/>
        <w:spacing w:line="330" w:lineRule="atLeast"/>
        <w:rPr>
          <w:color w:val="000000"/>
          <w:sz w:val="21"/>
          <w:szCs w:val="21"/>
        </w:rPr>
      </w:pPr>
      <w:r>
        <w:rPr>
          <w:rFonts w:hint="eastAsia"/>
          <w:color w:val="000000"/>
          <w:sz w:val="21"/>
          <w:szCs w:val="21"/>
        </w:rPr>
        <w:t xml:space="preserve">　</w:t>
      </w:r>
      <w:r>
        <w:rPr>
          <w:rStyle w:val="a4"/>
          <w:rFonts w:hint="eastAsia"/>
          <w:color w:val="000000"/>
          <w:sz w:val="21"/>
          <w:szCs w:val="21"/>
        </w:rPr>
        <w:t xml:space="preserve">　2、投资者如何买卖港股</w:t>
      </w:r>
      <w:proofErr w:type="gramStart"/>
      <w:r>
        <w:rPr>
          <w:rStyle w:val="a4"/>
          <w:rFonts w:hint="eastAsia"/>
          <w:color w:val="000000"/>
          <w:sz w:val="21"/>
          <w:szCs w:val="21"/>
        </w:rPr>
        <w:t>通股票</w:t>
      </w:r>
      <w:proofErr w:type="gramEnd"/>
      <w:r>
        <w:rPr>
          <w:rStyle w:val="a4"/>
          <w:rFonts w:hint="eastAsia"/>
          <w:color w:val="000000"/>
          <w:sz w:val="21"/>
          <w:szCs w:val="21"/>
        </w:rPr>
        <w:t>?</w:t>
      </w:r>
    </w:p>
    <w:p w:rsidR="0045539B" w:rsidRDefault="0045539B" w:rsidP="0045539B">
      <w:pPr>
        <w:pStyle w:val="a3"/>
        <w:wordWrap w:val="0"/>
        <w:spacing w:line="330" w:lineRule="atLeast"/>
        <w:rPr>
          <w:color w:val="000000"/>
          <w:sz w:val="21"/>
          <w:szCs w:val="21"/>
        </w:rPr>
      </w:pPr>
      <w:r>
        <w:rPr>
          <w:rFonts w:hint="eastAsia"/>
          <w:color w:val="000000"/>
          <w:sz w:val="21"/>
          <w:szCs w:val="21"/>
        </w:rPr>
        <w:t xml:space="preserve">　　答:一方面,投资者通过委托内地证券公司买卖港股</w:t>
      </w:r>
      <w:proofErr w:type="gramStart"/>
      <w:r>
        <w:rPr>
          <w:rFonts w:hint="eastAsia"/>
          <w:color w:val="000000"/>
          <w:sz w:val="21"/>
          <w:szCs w:val="21"/>
        </w:rPr>
        <w:t>通股票</w:t>
      </w:r>
      <w:proofErr w:type="gramEnd"/>
      <w:r>
        <w:rPr>
          <w:rFonts w:hint="eastAsia"/>
          <w:color w:val="000000"/>
          <w:sz w:val="21"/>
          <w:szCs w:val="21"/>
        </w:rPr>
        <w:t>的,证券公司接受委托后,经由上交所证券交易服务公司,向联交所进行申报,该申报在联交所交易平台撮合成交后,将通过相同路径向证券公司和投资者返回成交情况。另一方面,在结算交收方面,投资者通过证券公司与中国结算完成清算交收,中国结算作为港股</w:t>
      </w:r>
      <w:proofErr w:type="gramStart"/>
      <w:r>
        <w:rPr>
          <w:rFonts w:hint="eastAsia"/>
          <w:color w:val="000000"/>
          <w:sz w:val="21"/>
          <w:szCs w:val="21"/>
        </w:rPr>
        <w:t>通股票</w:t>
      </w:r>
      <w:proofErr w:type="gramEnd"/>
      <w:r>
        <w:rPr>
          <w:rFonts w:hint="eastAsia"/>
          <w:color w:val="000000"/>
          <w:sz w:val="21"/>
          <w:szCs w:val="21"/>
        </w:rPr>
        <w:t>的名义持有人向香港结算履行交收责任。</w:t>
      </w:r>
    </w:p>
    <w:p w:rsidR="0045539B" w:rsidRDefault="0045539B" w:rsidP="0045539B">
      <w:pPr>
        <w:pStyle w:val="a3"/>
        <w:wordWrap w:val="0"/>
        <w:spacing w:line="330" w:lineRule="atLeast"/>
        <w:rPr>
          <w:color w:val="000000"/>
          <w:sz w:val="21"/>
          <w:szCs w:val="21"/>
        </w:rPr>
      </w:pPr>
      <w:r>
        <w:rPr>
          <w:rFonts w:hint="eastAsia"/>
          <w:color w:val="000000"/>
          <w:sz w:val="21"/>
          <w:szCs w:val="21"/>
        </w:rPr>
        <w:t xml:space="preserve">　　</w:t>
      </w:r>
      <w:r>
        <w:rPr>
          <w:rStyle w:val="a4"/>
          <w:rFonts w:hint="eastAsia"/>
          <w:color w:val="000000"/>
          <w:sz w:val="21"/>
          <w:szCs w:val="21"/>
        </w:rPr>
        <w:t>3、投资者买卖港股</w:t>
      </w:r>
      <w:proofErr w:type="gramStart"/>
      <w:r>
        <w:rPr>
          <w:rStyle w:val="a4"/>
          <w:rFonts w:hint="eastAsia"/>
          <w:color w:val="000000"/>
          <w:sz w:val="21"/>
          <w:szCs w:val="21"/>
        </w:rPr>
        <w:t>通股票</w:t>
      </w:r>
      <w:proofErr w:type="gramEnd"/>
      <w:r>
        <w:rPr>
          <w:rStyle w:val="a4"/>
          <w:rFonts w:hint="eastAsia"/>
          <w:color w:val="000000"/>
          <w:sz w:val="21"/>
          <w:szCs w:val="21"/>
        </w:rPr>
        <w:t>,是否需要与证券公司签订专门的业务合同?是否需要重新开立股票账户?</w:t>
      </w:r>
    </w:p>
    <w:p w:rsidR="0045539B" w:rsidRDefault="0045539B" w:rsidP="0045539B">
      <w:pPr>
        <w:pStyle w:val="a3"/>
        <w:wordWrap w:val="0"/>
        <w:spacing w:line="330" w:lineRule="atLeast"/>
        <w:rPr>
          <w:color w:val="000000"/>
          <w:sz w:val="21"/>
          <w:szCs w:val="21"/>
        </w:rPr>
      </w:pPr>
      <w:r>
        <w:rPr>
          <w:rFonts w:hint="eastAsia"/>
          <w:color w:val="000000"/>
          <w:sz w:val="21"/>
          <w:szCs w:val="21"/>
        </w:rPr>
        <w:t xml:space="preserve">　　答:投资者买卖港股</w:t>
      </w:r>
      <w:proofErr w:type="gramStart"/>
      <w:r>
        <w:rPr>
          <w:rFonts w:hint="eastAsia"/>
          <w:color w:val="000000"/>
          <w:sz w:val="21"/>
          <w:szCs w:val="21"/>
        </w:rPr>
        <w:t>通股票</w:t>
      </w:r>
      <w:proofErr w:type="gramEnd"/>
      <w:r>
        <w:rPr>
          <w:rFonts w:hint="eastAsia"/>
          <w:color w:val="000000"/>
          <w:sz w:val="21"/>
          <w:szCs w:val="21"/>
        </w:rPr>
        <w:t>前,应当与内地证券公司签订港股通证券交易委托协议,签署风险揭示书等。个人投资者还须满足有关港股通投资者适当性管理的条件。投资者若已有沪市人民币普通股账户的,无需另行开立股票账户。</w:t>
      </w:r>
    </w:p>
    <w:p w:rsidR="0045539B" w:rsidRDefault="0045539B" w:rsidP="0045539B">
      <w:pPr>
        <w:pStyle w:val="a3"/>
        <w:wordWrap w:val="0"/>
        <w:spacing w:line="330" w:lineRule="atLeast"/>
        <w:rPr>
          <w:color w:val="000000"/>
          <w:sz w:val="21"/>
          <w:szCs w:val="21"/>
        </w:rPr>
      </w:pPr>
      <w:r>
        <w:rPr>
          <w:rFonts w:hint="eastAsia"/>
          <w:color w:val="000000"/>
          <w:sz w:val="21"/>
          <w:szCs w:val="21"/>
        </w:rPr>
        <w:t xml:space="preserve">　</w:t>
      </w:r>
      <w:r>
        <w:rPr>
          <w:rStyle w:val="a4"/>
          <w:rFonts w:hint="eastAsia"/>
          <w:color w:val="000000"/>
          <w:sz w:val="21"/>
          <w:szCs w:val="21"/>
        </w:rPr>
        <w:t xml:space="preserve">　4、目前,香港市场台风和黑色暴雨期间的港股交易如何安排?</w:t>
      </w:r>
    </w:p>
    <w:p w:rsidR="0045539B" w:rsidRDefault="0045539B" w:rsidP="0045539B">
      <w:pPr>
        <w:pStyle w:val="a3"/>
        <w:wordWrap w:val="0"/>
        <w:spacing w:line="330" w:lineRule="atLeast"/>
        <w:rPr>
          <w:color w:val="000000"/>
          <w:sz w:val="21"/>
          <w:szCs w:val="21"/>
        </w:rPr>
      </w:pPr>
      <w:r>
        <w:rPr>
          <w:rFonts w:hint="eastAsia"/>
          <w:color w:val="000000"/>
          <w:sz w:val="21"/>
          <w:szCs w:val="21"/>
        </w:rPr>
        <w:t xml:space="preserve">　　答:由于地处台风和黑色暴雨的多发地,香港市场在处理台风和黑色暴雨对交易的影响上形成一套既定的成熟做法,即按照八号及以上台风和黑色暴雨警告(以下统称警报)发出时间在集合竞价阶段(香港称开市前时段)前、集合竞价阶段、集合竞价阶段后到16:00等三个不同时段有不同的应对措施。</w:t>
      </w:r>
    </w:p>
    <w:p w:rsidR="0045539B" w:rsidRDefault="0045539B" w:rsidP="0045539B">
      <w:pPr>
        <w:pStyle w:val="a3"/>
        <w:wordWrap w:val="0"/>
        <w:spacing w:line="330" w:lineRule="atLeast"/>
        <w:rPr>
          <w:color w:val="000000"/>
          <w:sz w:val="21"/>
          <w:szCs w:val="21"/>
        </w:rPr>
      </w:pPr>
      <w:r>
        <w:rPr>
          <w:rFonts w:hint="eastAsia"/>
          <w:color w:val="000000"/>
          <w:sz w:val="21"/>
          <w:szCs w:val="21"/>
        </w:rPr>
        <w:lastRenderedPageBreak/>
        <w:t xml:space="preserve">　　香港市场有关台风和黑色暴雨的休市和恢复上市安排,联交所将在其交易所网站上予以公开披露,内地投资者可以通过联交所网站获取相关信息。</w:t>
      </w:r>
    </w:p>
    <w:p w:rsidR="0045539B" w:rsidRDefault="0045539B" w:rsidP="0045539B">
      <w:pPr>
        <w:pStyle w:val="a3"/>
        <w:wordWrap w:val="0"/>
        <w:spacing w:line="330" w:lineRule="atLeast"/>
        <w:rPr>
          <w:color w:val="000000"/>
          <w:sz w:val="21"/>
          <w:szCs w:val="21"/>
        </w:rPr>
      </w:pPr>
      <w:r>
        <w:rPr>
          <w:rFonts w:hint="eastAsia"/>
          <w:color w:val="000000"/>
          <w:sz w:val="21"/>
          <w:szCs w:val="21"/>
        </w:rPr>
        <w:t xml:space="preserve">　　</w:t>
      </w:r>
      <w:r>
        <w:rPr>
          <w:rStyle w:val="a4"/>
          <w:rFonts w:hint="eastAsia"/>
          <w:color w:val="000000"/>
          <w:sz w:val="21"/>
          <w:szCs w:val="21"/>
        </w:rPr>
        <w:t>5、问:请问未来在加强两地监管合作方面会有哪些安排?</w:t>
      </w:r>
    </w:p>
    <w:p w:rsidR="0045539B" w:rsidRDefault="0045539B" w:rsidP="0045539B">
      <w:pPr>
        <w:pStyle w:val="a3"/>
        <w:wordWrap w:val="0"/>
        <w:spacing w:line="330" w:lineRule="atLeast"/>
        <w:rPr>
          <w:color w:val="000000"/>
          <w:sz w:val="21"/>
          <w:szCs w:val="21"/>
        </w:rPr>
      </w:pPr>
      <w:r>
        <w:rPr>
          <w:rFonts w:hint="eastAsia"/>
          <w:color w:val="000000"/>
          <w:sz w:val="21"/>
          <w:szCs w:val="21"/>
        </w:rPr>
        <w:t xml:space="preserve">　　答:对市场主体的监管,遵循不改变两地现行法律、规则及投资者交易习惯的总体原则。从监管对象来看,沪港通业务的监管权限包括上市公司、证券公司和证券交易服务公司三个方面。具体安排如下:一是对于上市公司,按照上市所在地原则进行监管。二是对于证券公司,原则上由持牌所在地监管机构监管。同时,证券公司通过沪港通代理投资者从事跨境证券交易行为时,境外监管机构有权对其跨境交易行为进行监管。三是交易所在对方市场设立承担订单转发职能的公司(证券交易服务公司),由对方监管机构颁发牌照并进行监管。</w:t>
      </w:r>
    </w:p>
    <w:p w:rsidR="0045539B" w:rsidRDefault="0045539B" w:rsidP="0045539B">
      <w:pPr>
        <w:pStyle w:val="a3"/>
        <w:wordWrap w:val="0"/>
        <w:spacing w:line="330" w:lineRule="atLeast"/>
        <w:rPr>
          <w:color w:val="000000"/>
          <w:sz w:val="21"/>
          <w:szCs w:val="21"/>
        </w:rPr>
      </w:pPr>
      <w:r>
        <w:rPr>
          <w:rFonts w:hint="eastAsia"/>
          <w:color w:val="000000"/>
          <w:sz w:val="21"/>
          <w:szCs w:val="21"/>
        </w:rPr>
        <w:t xml:space="preserve">　　</w:t>
      </w:r>
      <w:r>
        <w:rPr>
          <w:rStyle w:val="a4"/>
          <w:rFonts w:hint="eastAsia"/>
          <w:color w:val="000000"/>
          <w:sz w:val="21"/>
          <w:szCs w:val="21"/>
        </w:rPr>
        <w:t>6、问:请问未来在保护投资者合法权益方面会有哪些安排?</w:t>
      </w:r>
    </w:p>
    <w:p w:rsidR="0045539B" w:rsidRDefault="0045539B" w:rsidP="0045539B">
      <w:pPr>
        <w:pStyle w:val="a3"/>
        <w:wordWrap w:val="0"/>
        <w:spacing w:line="330" w:lineRule="atLeast"/>
        <w:rPr>
          <w:color w:val="000000"/>
          <w:sz w:val="21"/>
          <w:szCs w:val="21"/>
        </w:rPr>
      </w:pPr>
      <w:r>
        <w:rPr>
          <w:rFonts w:hint="eastAsia"/>
          <w:color w:val="000000"/>
          <w:sz w:val="21"/>
          <w:szCs w:val="21"/>
        </w:rPr>
        <w:t xml:space="preserve">　　答:对于投资者,按照交易发生地原则实行保护。即投资于谁的市场,由谁进行监管。投资者还可依涉外民事诉讼法,向有管辖权的法院提起民事赔偿诉讼,并通过两地司法协助机制予以执行,维护自身合法权益。具体制度安排主要有三方面:</w:t>
      </w:r>
    </w:p>
    <w:p w:rsidR="0045539B" w:rsidRDefault="0045539B" w:rsidP="0045539B">
      <w:pPr>
        <w:pStyle w:val="a3"/>
        <w:wordWrap w:val="0"/>
        <w:spacing w:line="330" w:lineRule="atLeast"/>
        <w:rPr>
          <w:color w:val="000000"/>
          <w:sz w:val="21"/>
          <w:szCs w:val="21"/>
        </w:rPr>
      </w:pPr>
      <w:r>
        <w:rPr>
          <w:rFonts w:hint="eastAsia"/>
          <w:color w:val="000000"/>
          <w:sz w:val="21"/>
          <w:szCs w:val="21"/>
        </w:rPr>
        <w:t xml:space="preserve">　　一是监管机构层面,在中国证监会与香港证监会于1993年签署的《监管合作备忘录》及其附函基础上,针对沪港</w:t>
      </w:r>
      <w:proofErr w:type="gramStart"/>
      <w:r>
        <w:rPr>
          <w:rFonts w:hint="eastAsia"/>
          <w:color w:val="000000"/>
          <w:sz w:val="21"/>
          <w:szCs w:val="21"/>
        </w:rPr>
        <w:t>通涉及</w:t>
      </w:r>
      <w:proofErr w:type="gramEnd"/>
      <w:r>
        <w:rPr>
          <w:rFonts w:hint="eastAsia"/>
          <w:color w:val="000000"/>
          <w:sz w:val="21"/>
          <w:szCs w:val="21"/>
        </w:rPr>
        <w:t>的具体跨境监管问题,进一步签署补充协议,就内幕交易、操纵市场等违法交易行为认定标准差异的处理、监管信息共享机制、违法违规线索提供机制、协助调查取证和配合采取相关监管措施等方面</w:t>
      </w:r>
      <w:proofErr w:type="gramStart"/>
      <w:r>
        <w:rPr>
          <w:rFonts w:hint="eastAsia"/>
          <w:color w:val="000000"/>
          <w:sz w:val="21"/>
          <w:szCs w:val="21"/>
        </w:rPr>
        <w:t>作出</w:t>
      </w:r>
      <w:proofErr w:type="gramEnd"/>
      <w:r>
        <w:rPr>
          <w:rFonts w:hint="eastAsia"/>
          <w:color w:val="000000"/>
          <w:sz w:val="21"/>
          <w:szCs w:val="21"/>
        </w:rPr>
        <w:t>具体约定。</w:t>
      </w:r>
    </w:p>
    <w:p w:rsidR="0045539B" w:rsidRDefault="0045539B" w:rsidP="0045539B">
      <w:pPr>
        <w:pStyle w:val="a3"/>
        <w:wordWrap w:val="0"/>
        <w:spacing w:line="330" w:lineRule="atLeast"/>
        <w:rPr>
          <w:color w:val="000000"/>
          <w:sz w:val="21"/>
          <w:szCs w:val="21"/>
        </w:rPr>
      </w:pPr>
      <w:r>
        <w:rPr>
          <w:rFonts w:hint="eastAsia"/>
          <w:color w:val="000000"/>
          <w:sz w:val="21"/>
          <w:szCs w:val="21"/>
        </w:rPr>
        <w:t xml:space="preserve">　　二是交易所层面,沪、港交易所在双方《监管合作备忘录》的基础上,通过签订《监管合作补充协议》的方式,</w:t>
      </w:r>
      <w:proofErr w:type="gramStart"/>
      <w:r>
        <w:rPr>
          <w:rFonts w:hint="eastAsia"/>
          <w:color w:val="000000"/>
          <w:sz w:val="21"/>
          <w:szCs w:val="21"/>
        </w:rPr>
        <w:t>明确沪</w:t>
      </w:r>
      <w:proofErr w:type="gramEnd"/>
      <w:r>
        <w:rPr>
          <w:rFonts w:hint="eastAsia"/>
          <w:color w:val="000000"/>
          <w:sz w:val="21"/>
          <w:szCs w:val="21"/>
        </w:rPr>
        <w:t>港通的具体监管合作机制。</w:t>
      </w:r>
    </w:p>
    <w:p w:rsidR="0045539B" w:rsidRDefault="0045539B" w:rsidP="0045539B">
      <w:pPr>
        <w:pStyle w:val="a3"/>
        <w:wordWrap w:val="0"/>
        <w:spacing w:line="330" w:lineRule="atLeast"/>
        <w:rPr>
          <w:color w:val="000000"/>
          <w:sz w:val="21"/>
          <w:szCs w:val="21"/>
        </w:rPr>
      </w:pPr>
      <w:r>
        <w:rPr>
          <w:rFonts w:hint="eastAsia"/>
          <w:color w:val="000000"/>
          <w:sz w:val="21"/>
          <w:szCs w:val="21"/>
        </w:rPr>
        <w:t xml:space="preserve">　　三是考虑到目前内地与香港尚无司法协助的相关协定,民事及刑事的跨境执法只能依靠个案处理。行政执法层面双方已有过合作,但仍缺乏充分的法律依据。跨境司法协助问题将根据沪港通的实践情况积极推动、逐步解决。</w:t>
      </w:r>
    </w:p>
    <w:p w:rsidR="00D73487" w:rsidRPr="0045539B" w:rsidRDefault="00D73487"/>
    <w:sectPr w:rsidR="00D73487" w:rsidRPr="0045539B" w:rsidSect="00D734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8D5" w:rsidRDefault="002068D5" w:rsidP="00AE39EF">
      <w:r>
        <w:separator/>
      </w:r>
    </w:p>
  </w:endnote>
  <w:endnote w:type="continuationSeparator" w:id="0">
    <w:p w:rsidR="002068D5" w:rsidRDefault="002068D5" w:rsidP="00AE39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8D5" w:rsidRDefault="002068D5" w:rsidP="00AE39EF">
      <w:r>
        <w:separator/>
      </w:r>
    </w:p>
  </w:footnote>
  <w:footnote w:type="continuationSeparator" w:id="0">
    <w:p w:rsidR="002068D5" w:rsidRDefault="002068D5" w:rsidP="00AE39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539B"/>
    <w:rsid w:val="002068D5"/>
    <w:rsid w:val="0045539B"/>
    <w:rsid w:val="006B7FE0"/>
    <w:rsid w:val="00AE39EF"/>
    <w:rsid w:val="00D73487"/>
    <w:rsid w:val="00F51E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4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539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5539B"/>
    <w:rPr>
      <w:b/>
      <w:bCs/>
    </w:rPr>
  </w:style>
  <w:style w:type="paragraph" w:styleId="a5">
    <w:name w:val="header"/>
    <w:basedOn w:val="a"/>
    <w:link w:val="Char"/>
    <w:uiPriority w:val="99"/>
    <w:semiHidden/>
    <w:unhideWhenUsed/>
    <w:rsid w:val="00AE39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E39EF"/>
    <w:rPr>
      <w:sz w:val="18"/>
      <w:szCs w:val="18"/>
    </w:rPr>
  </w:style>
  <w:style w:type="paragraph" w:styleId="a6">
    <w:name w:val="footer"/>
    <w:basedOn w:val="a"/>
    <w:link w:val="Char0"/>
    <w:uiPriority w:val="99"/>
    <w:semiHidden/>
    <w:unhideWhenUsed/>
    <w:rsid w:val="00AE39E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AE39EF"/>
    <w:rPr>
      <w:sz w:val="18"/>
      <w:szCs w:val="18"/>
    </w:rPr>
  </w:style>
</w:styles>
</file>

<file path=word/webSettings.xml><?xml version="1.0" encoding="utf-8"?>
<w:webSettings xmlns:r="http://schemas.openxmlformats.org/officeDocument/2006/relationships" xmlns:w="http://schemas.openxmlformats.org/wordprocessingml/2006/main">
  <w:divs>
    <w:div w:id="1041171151">
      <w:bodyDiv w:val="1"/>
      <w:marLeft w:val="0"/>
      <w:marRight w:val="0"/>
      <w:marTop w:val="0"/>
      <w:marBottom w:val="0"/>
      <w:divBdr>
        <w:top w:val="none" w:sz="0" w:space="0" w:color="auto"/>
        <w:left w:val="none" w:sz="0" w:space="0" w:color="auto"/>
        <w:bottom w:val="none" w:sz="0" w:space="0" w:color="auto"/>
        <w:right w:val="none" w:sz="0" w:space="0" w:color="auto"/>
      </w:divBdr>
      <w:divsChild>
        <w:div w:id="1472940205">
          <w:marLeft w:val="0"/>
          <w:marRight w:val="0"/>
          <w:marTop w:val="0"/>
          <w:marBottom w:val="0"/>
          <w:divBdr>
            <w:top w:val="none" w:sz="0" w:space="0" w:color="auto"/>
            <w:left w:val="none" w:sz="0" w:space="0" w:color="auto"/>
            <w:bottom w:val="none" w:sz="0" w:space="0" w:color="auto"/>
            <w:right w:val="none" w:sz="0" w:space="0" w:color="auto"/>
          </w:divBdr>
          <w:divsChild>
            <w:div w:id="377046003">
              <w:marLeft w:val="0"/>
              <w:marRight w:val="0"/>
              <w:marTop w:val="0"/>
              <w:marBottom w:val="0"/>
              <w:divBdr>
                <w:top w:val="none" w:sz="0" w:space="0" w:color="auto"/>
                <w:left w:val="none" w:sz="0" w:space="0" w:color="auto"/>
                <w:bottom w:val="none" w:sz="0" w:space="0" w:color="auto"/>
                <w:right w:val="none" w:sz="0" w:space="0" w:color="auto"/>
              </w:divBdr>
              <w:divsChild>
                <w:div w:id="193540003">
                  <w:marLeft w:val="0"/>
                  <w:marRight w:val="0"/>
                  <w:marTop w:val="0"/>
                  <w:marBottom w:val="0"/>
                  <w:divBdr>
                    <w:top w:val="none" w:sz="0" w:space="0" w:color="auto"/>
                    <w:left w:val="none" w:sz="0" w:space="0" w:color="auto"/>
                    <w:bottom w:val="none" w:sz="0" w:space="0" w:color="auto"/>
                    <w:right w:val="none" w:sz="0" w:space="0" w:color="auto"/>
                  </w:divBdr>
                  <w:divsChild>
                    <w:div w:id="11345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266</Words>
  <Characters>1520</Characters>
  <Application>Microsoft Office Word</Application>
  <DocSecurity>0</DocSecurity>
  <Lines>12</Lines>
  <Paragraphs>3</Paragraphs>
  <ScaleCrop>false</ScaleCrop>
  <Company>Lenovo (Beijing) Limited</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风控合规部兼职秘书</dc:creator>
  <cp:keywords/>
  <dc:description/>
  <cp:lastModifiedBy>风控合规部兼职秘书</cp:lastModifiedBy>
  <cp:revision>2</cp:revision>
  <dcterms:created xsi:type="dcterms:W3CDTF">2014-07-18T05:34:00Z</dcterms:created>
  <dcterms:modified xsi:type="dcterms:W3CDTF">2014-07-18T08:40:00Z</dcterms:modified>
</cp:coreProperties>
</file>