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39B" w:rsidRDefault="0045539B" w:rsidP="00AE39EF">
      <w:pPr>
        <w:pStyle w:val="a3"/>
        <w:spacing w:line="330" w:lineRule="atLeast"/>
        <w:jc w:val="center"/>
        <w:rPr>
          <w:color w:val="000000"/>
          <w:sz w:val="18"/>
          <w:szCs w:val="18"/>
        </w:rPr>
      </w:pPr>
      <w:r>
        <w:rPr>
          <w:rStyle w:val="a4"/>
          <w:rFonts w:hint="eastAsia"/>
          <w:color w:val="000000"/>
          <w:sz w:val="21"/>
          <w:szCs w:val="21"/>
        </w:rPr>
        <w:t>沪港通投资者问答</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w:t>
      </w:r>
      <w:r>
        <w:rPr>
          <w:rStyle w:val="a4"/>
          <w:rFonts w:hint="eastAsia"/>
          <w:color w:val="000000"/>
          <w:sz w:val="21"/>
          <w:szCs w:val="21"/>
        </w:rPr>
        <w:t>1、沪港通与QFII和QDII有何主要区别?</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答:沪港通与QFII、QDII制度具有一定共同之处,都是在我国资本账户尚未完全开放的背景下,为进一步丰富跨境投资方式,加强资本市场对外开放程度而</w:t>
      </w:r>
      <w:proofErr w:type="gramStart"/>
      <w:r>
        <w:rPr>
          <w:rFonts w:hint="eastAsia"/>
          <w:color w:val="000000"/>
          <w:sz w:val="21"/>
          <w:szCs w:val="21"/>
        </w:rPr>
        <w:t>作出</w:t>
      </w:r>
      <w:proofErr w:type="gramEnd"/>
      <w:r>
        <w:rPr>
          <w:rFonts w:hint="eastAsia"/>
          <w:color w:val="000000"/>
          <w:sz w:val="21"/>
          <w:szCs w:val="21"/>
        </w:rPr>
        <w:t>的特殊安排。</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在具体制度安排上,沪港通与QFII、QDII又存在以下主要区别:</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一是业务载体不同。沪港通是以两地交易所为载体,互相建立起市场连接,并对订单进行路由,从而实现投资者跨市场投资。QFII等是以资产管理公司为载体,通过向投资者发行金融产品吸收资金以进行投资。</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二是投资方向不同。沪港通包含两个投资方向,分别是香港投资者投资上交所市场的沪股通,以及内地投资者投资香港市场的港股通。QFII等则都是单向的投资方式。</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三是交易货币不同。沪港通投资者仅以人民币作为交易货币,不论是内地投资者还是香港投资者均须以人民币进行投资;QFII的投资者以美元等外币进行投资。</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四是跨境资金管理方式不同。沪港通对资金实施闭合路径管理,卖出证券获得的资金必须沿原路径返回,不能留存在当地市场;QFII等买卖证券的资金可以留存在当地市场。</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w:t>
      </w:r>
      <w:r>
        <w:rPr>
          <w:rStyle w:val="a4"/>
          <w:rFonts w:hint="eastAsia"/>
          <w:color w:val="000000"/>
          <w:sz w:val="21"/>
          <w:szCs w:val="21"/>
        </w:rPr>
        <w:t xml:space="preserve">　2、投资者如何买卖港股</w:t>
      </w:r>
      <w:proofErr w:type="gramStart"/>
      <w:r>
        <w:rPr>
          <w:rStyle w:val="a4"/>
          <w:rFonts w:hint="eastAsia"/>
          <w:color w:val="000000"/>
          <w:sz w:val="21"/>
          <w:szCs w:val="21"/>
        </w:rPr>
        <w:t>通股票</w:t>
      </w:r>
      <w:proofErr w:type="gramEnd"/>
      <w:r>
        <w:rPr>
          <w:rStyle w:val="a4"/>
          <w:rFonts w:hint="eastAsia"/>
          <w:color w:val="000000"/>
          <w:sz w:val="21"/>
          <w:szCs w:val="21"/>
        </w:rPr>
        <w:t>?</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答:一方面,投资者通过委托内地证券公司买卖港股</w:t>
      </w:r>
      <w:proofErr w:type="gramStart"/>
      <w:r>
        <w:rPr>
          <w:rFonts w:hint="eastAsia"/>
          <w:color w:val="000000"/>
          <w:sz w:val="21"/>
          <w:szCs w:val="21"/>
        </w:rPr>
        <w:t>通股票</w:t>
      </w:r>
      <w:proofErr w:type="gramEnd"/>
      <w:r>
        <w:rPr>
          <w:rFonts w:hint="eastAsia"/>
          <w:color w:val="000000"/>
          <w:sz w:val="21"/>
          <w:szCs w:val="21"/>
        </w:rPr>
        <w:t>的,证券公司接受委托后,经由上交所证券交易服务公司,向联交所进行申报,该申报在联交所交易平台撮合成交后,将通过相同路径向证券公司和投资者返回成交情况。另一方面,在结算交收方面,投资者通过证券公司与中国结算完成清算交收,中国结算作为港股</w:t>
      </w:r>
      <w:proofErr w:type="gramStart"/>
      <w:r>
        <w:rPr>
          <w:rFonts w:hint="eastAsia"/>
          <w:color w:val="000000"/>
          <w:sz w:val="21"/>
          <w:szCs w:val="21"/>
        </w:rPr>
        <w:t>通股票</w:t>
      </w:r>
      <w:proofErr w:type="gramEnd"/>
      <w:r>
        <w:rPr>
          <w:rFonts w:hint="eastAsia"/>
          <w:color w:val="000000"/>
          <w:sz w:val="21"/>
          <w:szCs w:val="21"/>
        </w:rPr>
        <w:t>的名义持有人向香港结算履行交收责任。</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w:t>
      </w:r>
      <w:r>
        <w:rPr>
          <w:rStyle w:val="a4"/>
          <w:rFonts w:hint="eastAsia"/>
          <w:color w:val="000000"/>
          <w:sz w:val="21"/>
          <w:szCs w:val="21"/>
        </w:rPr>
        <w:t>3、投资者买卖港股</w:t>
      </w:r>
      <w:proofErr w:type="gramStart"/>
      <w:r>
        <w:rPr>
          <w:rStyle w:val="a4"/>
          <w:rFonts w:hint="eastAsia"/>
          <w:color w:val="000000"/>
          <w:sz w:val="21"/>
          <w:szCs w:val="21"/>
        </w:rPr>
        <w:t>通股票</w:t>
      </w:r>
      <w:proofErr w:type="gramEnd"/>
      <w:r>
        <w:rPr>
          <w:rStyle w:val="a4"/>
          <w:rFonts w:hint="eastAsia"/>
          <w:color w:val="000000"/>
          <w:sz w:val="21"/>
          <w:szCs w:val="21"/>
        </w:rPr>
        <w:t>,是否需要与证券公司签订专门的业务合同?是否需要重新开立股票账户?</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答:投资者买卖港股</w:t>
      </w:r>
      <w:proofErr w:type="gramStart"/>
      <w:r>
        <w:rPr>
          <w:rFonts w:hint="eastAsia"/>
          <w:color w:val="000000"/>
          <w:sz w:val="21"/>
          <w:szCs w:val="21"/>
        </w:rPr>
        <w:t>通股票</w:t>
      </w:r>
      <w:proofErr w:type="gramEnd"/>
      <w:r>
        <w:rPr>
          <w:rFonts w:hint="eastAsia"/>
          <w:color w:val="000000"/>
          <w:sz w:val="21"/>
          <w:szCs w:val="21"/>
        </w:rPr>
        <w:t>前,应当与内地证券公司签订港股通证券交易委托协议,签署风险揭示书等。个人投资者还须满足有关港股通投资者适当性管理的条件。投资者若已有沪市人民币普通股账户的,无需另行开立股票账户。</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w:t>
      </w:r>
      <w:r>
        <w:rPr>
          <w:rStyle w:val="a4"/>
          <w:rFonts w:hint="eastAsia"/>
          <w:color w:val="000000"/>
          <w:sz w:val="21"/>
          <w:szCs w:val="21"/>
        </w:rPr>
        <w:t xml:space="preserve">　4、目前,香港市场台风和黑色暴雨期间的港股交易如何安排?</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答:由于地处台风和黑色暴雨的多发地,香港市场在处理台风和黑色暴雨对交易的影响上形成一套既定的成熟做法,即按照八号及以上台风和黑色暴雨警告(以下统称警报)发出时间在集合竞价阶段(香港称开市前时段)前、集合竞价阶段、集合竞价阶段后到16:00等三个不同时段有不同的应对措施。</w:t>
      </w:r>
    </w:p>
    <w:p w:rsidR="0045539B" w:rsidRDefault="0045539B" w:rsidP="0045539B">
      <w:pPr>
        <w:pStyle w:val="a3"/>
        <w:wordWrap w:val="0"/>
        <w:spacing w:line="330" w:lineRule="atLeast"/>
        <w:rPr>
          <w:color w:val="000000"/>
          <w:sz w:val="21"/>
          <w:szCs w:val="21"/>
        </w:rPr>
      </w:pPr>
      <w:r>
        <w:rPr>
          <w:rFonts w:hint="eastAsia"/>
          <w:color w:val="000000"/>
          <w:sz w:val="21"/>
          <w:szCs w:val="21"/>
        </w:rPr>
        <w:lastRenderedPageBreak/>
        <w:t xml:space="preserve">　　香港市场有关台风和黑色暴雨的休市和恢复上市安排,联交所将在其交易所网站上予以公开披露,内地投资者可以通过联交所网站获取相关信息。</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w:t>
      </w:r>
      <w:r>
        <w:rPr>
          <w:rStyle w:val="a4"/>
          <w:rFonts w:hint="eastAsia"/>
          <w:color w:val="000000"/>
          <w:sz w:val="21"/>
          <w:szCs w:val="21"/>
        </w:rPr>
        <w:t>5、问:请问未来在加强两地监管合作方面会有哪些安排?</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答:对市场主体的监管,遵循不改变两地现行法律、规则及投资者交易习惯的总体原则。从监管对象来看,沪港通业务的监管权限包括上市公司、证券公司和证券交易服务公司三个方面。具体安排如下:一是对于上市公司,按照上市所在地原则进行监管。二是对于证券公司,原则上由持牌所在地监管机构监管。同时,证券公司通过沪港通代理投资者从事跨境证券交易行为时,境外监管机构有权对其跨境交易行为进行监管。三是交易所在对方市场设立承担订单转发职能的公司(证券交易服务公司),由对方监管机构颁发牌照并进行监管。</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w:t>
      </w:r>
      <w:r>
        <w:rPr>
          <w:rStyle w:val="a4"/>
          <w:rFonts w:hint="eastAsia"/>
          <w:color w:val="000000"/>
          <w:sz w:val="21"/>
          <w:szCs w:val="21"/>
        </w:rPr>
        <w:t>6、问:请问未来在保护投资者合法权益方面会有哪些安排?</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答:对于投资者,按照交易发生地原则实行保护。即投资于谁的市场,由谁进行监管。投资者还可依涉外民事诉讼法,向有管辖权的法院提起民事赔偿诉讼,并通过两地司法协助机制予以执行,维护自身合法权益。具体制度安排主要有三方面:</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一是监管机构层面,在中国证监会与香港证监会于1993年签署的《监管合作备忘录》及其附函基础上,针对沪港</w:t>
      </w:r>
      <w:proofErr w:type="gramStart"/>
      <w:r>
        <w:rPr>
          <w:rFonts w:hint="eastAsia"/>
          <w:color w:val="000000"/>
          <w:sz w:val="21"/>
          <w:szCs w:val="21"/>
        </w:rPr>
        <w:t>通涉及</w:t>
      </w:r>
      <w:proofErr w:type="gramEnd"/>
      <w:r>
        <w:rPr>
          <w:rFonts w:hint="eastAsia"/>
          <w:color w:val="000000"/>
          <w:sz w:val="21"/>
          <w:szCs w:val="21"/>
        </w:rPr>
        <w:t>的具体跨境监管问题,进一步签署补充协议,就内幕交易、操纵市场等违法交易行为认定标准差异的处理、监管信息共享机制、违法违规线索提供机制、协助调查取证和配合采取相关监管措施等方面</w:t>
      </w:r>
      <w:proofErr w:type="gramStart"/>
      <w:r>
        <w:rPr>
          <w:rFonts w:hint="eastAsia"/>
          <w:color w:val="000000"/>
          <w:sz w:val="21"/>
          <w:szCs w:val="21"/>
        </w:rPr>
        <w:t>作出</w:t>
      </w:r>
      <w:proofErr w:type="gramEnd"/>
      <w:r>
        <w:rPr>
          <w:rFonts w:hint="eastAsia"/>
          <w:color w:val="000000"/>
          <w:sz w:val="21"/>
          <w:szCs w:val="21"/>
        </w:rPr>
        <w:t>具体约定。</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二是交易所层面,沪、港交易所在双方《监管合作备忘录》的基础上,通过签订《监管合作补充协议》的方式,</w:t>
      </w:r>
      <w:proofErr w:type="gramStart"/>
      <w:r>
        <w:rPr>
          <w:rFonts w:hint="eastAsia"/>
          <w:color w:val="000000"/>
          <w:sz w:val="21"/>
          <w:szCs w:val="21"/>
        </w:rPr>
        <w:t>明确沪</w:t>
      </w:r>
      <w:proofErr w:type="gramEnd"/>
      <w:r>
        <w:rPr>
          <w:rFonts w:hint="eastAsia"/>
          <w:color w:val="000000"/>
          <w:sz w:val="21"/>
          <w:szCs w:val="21"/>
        </w:rPr>
        <w:t>港通的具体监管合作机制。</w:t>
      </w:r>
    </w:p>
    <w:p w:rsidR="0045539B" w:rsidRDefault="0045539B" w:rsidP="0045539B">
      <w:pPr>
        <w:pStyle w:val="a3"/>
        <w:wordWrap w:val="0"/>
        <w:spacing w:line="330" w:lineRule="atLeast"/>
        <w:rPr>
          <w:color w:val="000000"/>
          <w:sz w:val="21"/>
          <w:szCs w:val="21"/>
        </w:rPr>
      </w:pPr>
      <w:r>
        <w:rPr>
          <w:rFonts w:hint="eastAsia"/>
          <w:color w:val="000000"/>
          <w:sz w:val="21"/>
          <w:szCs w:val="21"/>
        </w:rPr>
        <w:t xml:space="preserve">　　三是考虑到目前内地与香港尚无司法协助的相关协定,民事及刑事的跨境执法只能依靠个案处理。行政执法层面双方已有过合作,但仍缺乏充分的法律依据。跨境司法协助问题将根据沪港通的实践情况积极推动、逐步解决。</w:t>
      </w:r>
    </w:p>
    <w:p w:rsidR="00D73487" w:rsidRPr="0045539B" w:rsidRDefault="00D73487"/>
    <w:sectPr w:rsidR="00D73487" w:rsidRPr="0045539B" w:rsidSect="00D734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8D5" w:rsidRDefault="002068D5" w:rsidP="00AE39EF">
      <w:r>
        <w:separator/>
      </w:r>
    </w:p>
  </w:endnote>
  <w:endnote w:type="continuationSeparator" w:id="0">
    <w:p w:rsidR="002068D5" w:rsidRDefault="002068D5" w:rsidP="00AE39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8D5" w:rsidRDefault="002068D5" w:rsidP="00AE39EF">
      <w:r>
        <w:separator/>
      </w:r>
    </w:p>
  </w:footnote>
  <w:footnote w:type="continuationSeparator" w:id="0">
    <w:p w:rsidR="002068D5" w:rsidRDefault="002068D5" w:rsidP="00AE39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539B"/>
    <w:rsid w:val="002068D5"/>
    <w:rsid w:val="0045539B"/>
    <w:rsid w:val="006B7FE0"/>
    <w:rsid w:val="00AE39EF"/>
    <w:rsid w:val="00D73487"/>
    <w:rsid w:val="00F51E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4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539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5539B"/>
    <w:rPr>
      <w:b/>
      <w:bCs/>
    </w:rPr>
  </w:style>
  <w:style w:type="paragraph" w:styleId="a5">
    <w:name w:val="header"/>
    <w:basedOn w:val="a"/>
    <w:link w:val="Char"/>
    <w:uiPriority w:val="99"/>
    <w:semiHidden/>
    <w:unhideWhenUsed/>
    <w:rsid w:val="00AE39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E39EF"/>
    <w:rPr>
      <w:sz w:val="18"/>
      <w:szCs w:val="18"/>
    </w:rPr>
  </w:style>
  <w:style w:type="paragraph" w:styleId="a6">
    <w:name w:val="footer"/>
    <w:basedOn w:val="a"/>
    <w:link w:val="Char0"/>
    <w:uiPriority w:val="99"/>
    <w:semiHidden/>
    <w:unhideWhenUsed/>
    <w:rsid w:val="00AE39E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E39EF"/>
    <w:rPr>
      <w:sz w:val="18"/>
      <w:szCs w:val="18"/>
    </w:rPr>
  </w:style>
</w:styles>
</file>

<file path=word/webSettings.xml><?xml version="1.0" encoding="utf-8"?>
<w:webSettings xmlns:r="http://schemas.openxmlformats.org/officeDocument/2006/relationships" xmlns:w="http://schemas.openxmlformats.org/wordprocessingml/2006/main">
  <w:divs>
    <w:div w:id="1041171151">
      <w:bodyDiv w:val="1"/>
      <w:marLeft w:val="0"/>
      <w:marRight w:val="0"/>
      <w:marTop w:val="0"/>
      <w:marBottom w:val="0"/>
      <w:divBdr>
        <w:top w:val="none" w:sz="0" w:space="0" w:color="auto"/>
        <w:left w:val="none" w:sz="0" w:space="0" w:color="auto"/>
        <w:bottom w:val="none" w:sz="0" w:space="0" w:color="auto"/>
        <w:right w:val="none" w:sz="0" w:space="0" w:color="auto"/>
      </w:divBdr>
      <w:divsChild>
        <w:div w:id="1472940205">
          <w:marLeft w:val="0"/>
          <w:marRight w:val="0"/>
          <w:marTop w:val="0"/>
          <w:marBottom w:val="0"/>
          <w:divBdr>
            <w:top w:val="none" w:sz="0" w:space="0" w:color="auto"/>
            <w:left w:val="none" w:sz="0" w:space="0" w:color="auto"/>
            <w:bottom w:val="none" w:sz="0" w:space="0" w:color="auto"/>
            <w:right w:val="none" w:sz="0" w:space="0" w:color="auto"/>
          </w:divBdr>
          <w:divsChild>
            <w:div w:id="377046003">
              <w:marLeft w:val="0"/>
              <w:marRight w:val="0"/>
              <w:marTop w:val="0"/>
              <w:marBottom w:val="0"/>
              <w:divBdr>
                <w:top w:val="none" w:sz="0" w:space="0" w:color="auto"/>
                <w:left w:val="none" w:sz="0" w:space="0" w:color="auto"/>
                <w:bottom w:val="none" w:sz="0" w:space="0" w:color="auto"/>
                <w:right w:val="none" w:sz="0" w:space="0" w:color="auto"/>
              </w:divBdr>
              <w:divsChild>
                <w:div w:id="193540003">
                  <w:marLeft w:val="0"/>
                  <w:marRight w:val="0"/>
                  <w:marTop w:val="0"/>
                  <w:marBottom w:val="0"/>
                  <w:divBdr>
                    <w:top w:val="none" w:sz="0" w:space="0" w:color="auto"/>
                    <w:left w:val="none" w:sz="0" w:space="0" w:color="auto"/>
                    <w:bottom w:val="none" w:sz="0" w:space="0" w:color="auto"/>
                    <w:right w:val="none" w:sz="0" w:space="0" w:color="auto"/>
                  </w:divBdr>
                  <w:divsChild>
                    <w:div w:id="11345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1520</Characters>
  <Application>Microsoft Office Word</Application>
  <DocSecurity>0</DocSecurity>
  <Lines>12</Lines>
  <Paragraphs>3</Paragraphs>
  <ScaleCrop>false</ScaleCrop>
  <Company>Lenovo (Beijing) Limited</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风控合规部兼职秘书</dc:creator>
  <cp:keywords/>
  <dc:description/>
  <cp:lastModifiedBy>风控合规部兼职秘书</cp:lastModifiedBy>
  <cp:revision>2</cp:revision>
  <dcterms:created xsi:type="dcterms:W3CDTF">2014-07-18T05:34:00Z</dcterms:created>
  <dcterms:modified xsi:type="dcterms:W3CDTF">2014-07-18T08:40:00Z</dcterms:modified>
</cp:coreProperties>
</file>